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w:t>
      </w:r>
      <w:r w:rsidR="009E7ACB">
        <w:rPr>
          <w:rFonts w:ascii="Times New Roman" w:hAnsi="Times New Roman" w:cs="Times New Roman"/>
          <w:b/>
          <w:sz w:val="24"/>
          <w:szCs w:val="24"/>
          <w:u w:val="single"/>
        </w:rPr>
        <w:t>7</w:t>
      </w:r>
      <w:r w:rsidR="00EC652E" w:rsidRPr="00EC652E">
        <w:rPr>
          <w:rFonts w:ascii="Times New Roman" w:hAnsi="Times New Roman" w:cs="Times New Roman"/>
          <w:b/>
          <w:sz w:val="24"/>
          <w:szCs w:val="24"/>
          <w:u w:val="single"/>
        </w:rPr>
        <w:t>-</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B957FF">
        <w:rPr>
          <w:rFonts w:ascii="Times New Roman" w:hAnsi="Times New Roman" w:cs="Times New Roman"/>
          <w:b/>
          <w:sz w:val="24"/>
          <w:szCs w:val="24"/>
          <w:u w:val="single"/>
        </w:rPr>
        <w:t>25</w:t>
      </w:r>
      <w:r w:rsidR="006C42BA">
        <w:rPr>
          <w:rFonts w:ascii="Times New Roman" w:hAnsi="Times New Roman" w:cs="Times New Roman"/>
          <w:b/>
          <w:sz w:val="24"/>
          <w:szCs w:val="24"/>
          <w:u w:val="single"/>
        </w:rPr>
        <w:t>.</w:t>
      </w:r>
      <w:r w:rsidR="00B7661B">
        <w:rPr>
          <w:rFonts w:ascii="Times New Roman" w:hAnsi="Times New Roman" w:cs="Times New Roman"/>
          <w:b/>
          <w:sz w:val="24"/>
          <w:szCs w:val="24"/>
          <w:u w:val="single"/>
        </w:rPr>
        <w:t>0</w:t>
      </w:r>
      <w:r w:rsidR="00406A0D">
        <w:rPr>
          <w:rFonts w:ascii="Times New Roman" w:hAnsi="Times New Roman" w:cs="Times New Roman"/>
          <w:b/>
          <w:sz w:val="24"/>
          <w:szCs w:val="24"/>
          <w:u w:val="single"/>
        </w:rPr>
        <w:t>9</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B957FF" w:rsidRPr="00865FC4" w:rsidRDefault="00B957FF" w:rsidP="00B957FF">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Pr>
          <w:rFonts w:ascii="Times New Roman" w:hAnsi="Times New Roman" w:cs="Times New Roman"/>
          <w:sz w:val="24"/>
          <w:szCs w:val="24"/>
          <w:u w:val="single"/>
        </w:rPr>
        <w:t>октябрь 2014 г.</w:t>
      </w:r>
      <w:r w:rsidRPr="00865FC4">
        <w:rPr>
          <w:rFonts w:ascii="Times New Roman" w:hAnsi="Times New Roman" w:cs="Times New Roman"/>
          <w:sz w:val="24"/>
          <w:szCs w:val="24"/>
          <w:u w:val="single"/>
        </w:rPr>
        <w:t xml:space="preserve"> - </w:t>
      </w:r>
      <w:r>
        <w:rPr>
          <w:rFonts w:ascii="Times New Roman" w:hAnsi="Times New Roman" w:cs="Times New Roman"/>
          <w:sz w:val="24"/>
          <w:szCs w:val="24"/>
          <w:u w:val="single"/>
        </w:rPr>
        <w:t>ноябрь 2014</w:t>
      </w:r>
      <w:r w:rsidRPr="00865FC4">
        <w:rPr>
          <w:rFonts w:ascii="Times New Roman" w:hAnsi="Times New Roman" w:cs="Times New Roman"/>
          <w:sz w:val="24"/>
          <w:szCs w:val="24"/>
          <w:u w:val="single"/>
        </w:rPr>
        <w:t xml:space="preserve"> г.</w:t>
      </w:r>
    </w:p>
    <w:p w:rsidR="00B957FF" w:rsidRDefault="00B957FF" w:rsidP="00B957FF">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Pr>
          <w:rFonts w:ascii="Times New Roman" w:hAnsi="Times New Roman" w:cs="Times New Roman"/>
          <w:sz w:val="24"/>
          <w:szCs w:val="24"/>
          <w:u w:val="single"/>
        </w:rPr>
        <w:t>Иркутская обл., п. Усть-Уда, ул. Лермонтова, 1а</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8A7729" w:rsidRPr="009E35E9" w:rsidRDefault="008A7729" w:rsidP="008A7729">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1407060,33</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четыреста семь тысяч шестьдесят рублей тридцать три копейки</w:t>
      </w:r>
      <w:r w:rsidRPr="009E35E9">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9E35E9">
        <w:rPr>
          <w:rFonts w:ascii="Times New Roman" w:hAnsi="Times New Roman" w:cs="Times New Roman"/>
          <w:sz w:val="24"/>
          <w:szCs w:val="24"/>
        </w:rPr>
        <w:t xml:space="preserve"> НДС (18%) </w:t>
      </w:r>
      <w:r>
        <w:rPr>
          <w:rFonts w:ascii="Times New Roman" w:hAnsi="Times New Roman" w:cs="Times New Roman"/>
          <w:sz w:val="24"/>
          <w:szCs w:val="24"/>
        </w:rPr>
        <w:t>214636,32</w:t>
      </w:r>
      <w:r w:rsidRPr="009E35E9">
        <w:rPr>
          <w:rFonts w:ascii="Times New Roman" w:hAnsi="Times New Roman" w:cs="Times New Roman"/>
          <w:sz w:val="24"/>
          <w:szCs w:val="24"/>
        </w:rPr>
        <w:t xml:space="preserve"> (</w:t>
      </w:r>
      <w:r>
        <w:rPr>
          <w:rFonts w:ascii="Times New Roman" w:hAnsi="Times New Roman" w:cs="Times New Roman"/>
          <w:sz w:val="24"/>
          <w:szCs w:val="24"/>
        </w:rPr>
        <w:t>двести четырнадцать тысяч шестьсот тридцать шесть рублей тридцать две копейки</w:t>
      </w:r>
      <w:r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B54B55">
        <w:rPr>
          <w:rFonts w:ascii="Times New Roman" w:hAnsi="Times New Roman" w:cs="Times New Roman"/>
          <w:b/>
          <w:color w:val="000000"/>
          <w:sz w:val="24"/>
          <w:szCs w:val="24"/>
          <w:u w:val="single"/>
        </w:rPr>
        <w:t>20</w:t>
      </w:r>
      <w:r w:rsidR="002F7005" w:rsidRPr="00B378FA">
        <w:rPr>
          <w:rFonts w:ascii="Times New Roman" w:hAnsi="Times New Roman" w:cs="Times New Roman"/>
          <w:b/>
          <w:color w:val="000000"/>
          <w:sz w:val="24"/>
          <w:szCs w:val="24"/>
          <w:u w:val="single"/>
        </w:rPr>
        <w:t>.</w:t>
      </w:r>
      <w:r w:rsidR="008D4054" w:rsidRPr="00D51BC2">
        <w:rPr>
          <w:rFonts w:ascii="Times New Roman" w:hAnsi="Times New Roman" w:cs="Times New Roman"/>
          <w:b/>
          <w:color w:val="000000"/>
          <w:sz w:val="24"/>
          <w:szCs w:val="24"/>
          <w:u w:val="single"/>
        </w:rPr>
        <w:t>0</w:t>
      </w:r>
      <w:r w:rsidR="00BC20F8">
        <w:rPr>
          <w:rFonts w:ascii="Times New Roman" w:hAnsi="Times New Roman" w:cs="Times New Roman"/>
          <w:b/>
          <w:color w:val="000000"/>
          <w:sz w:val="24"/>
          <w:szCs w:val="24"/>
          <w:u w:val="single"/>
        </w:rPr>
        <w:t>9</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B54B55">
        <w:rPr>
          <w:rFonts w:ascii="Times New Roman" w:hAnsi="Times New Roman" w:cs="Times New Roman"/>
          <w:b/>
          <w:color w:val="000000"/>
          <w:sz w:val="24"/>
          <w:szCs w:val="24"/>
          <w:u w:val="single"/>
        </w:rPr>
        <w:t>2</w:t>
      </w:r>
      <w:r w:rsidR="00576380">
        <w:rPr>
          <w:rFonts w:ascii="Times New Roman" w:hAnsi="Times New Roman" w:cs="Times New Roman"/>
          <w:b/>
          <w:color w:val="000000"/>
          <w:sz w:val="24"/>
          <w:szCs w:val="24"/>
          <w:u w:val="single"/>
        </w:rPr>
        <w:t>5</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B54B55">
        <w:rPr>
          <w:rFonts w:ascii="Times New Roman" w:hAnsi="Times New Roman" w:cs="Times New Roman"/>
          <w:b/>
          <w:color w:val="000000"/>
          <w:sz w:val="24"/>
          <w:szCs w:val="24"/>
          <w:u w:val="single"/>
        </w:rPr>
        <w:t>9</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576380">
        <w:rPr>
          <w:rFonts w:ascii="Times New Roman" w:hAnsi="Times New Roman" w:cs="Times New Roman"/>
          <w:b/>
          <w:color w:val="000000"/>
          <w:sz w:val="24"/>
          <w:szCs w:val="24"/>
        </w:rPr>
        <w:t>7</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576380">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FA7A06">
        <w:rPr>
          <w:rFonts w:ascii="Times New Roman" w:hAnsi="Times New Roman" w:cs="Times New Roman"/>
          <w:color w:val="000000"/>
          <w:sz w:val="24"/>
          <w:szCs w:val="24"/>
        </w:rPr>
        <w:t xml:space="preserve">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B54B55">
        <w:rPr>
          <w:rFonts w:ascii="Times New Roman" w:hAnsi="Times New Roman" w:cs="Times New Roman"/>
          <w:b/>
          <w:color w:val="000000"/>
          <w:sz w:val="24"/>
          <w:szCs w:val="24"/>
        </w:rPr>
        <w:t>29</w:t>
      </w:r>
      <w:r w:rsidR="009567C8" w:rsidRPr="00B378FA">
        <w:rPr>
          <w:rFonts w:ascii="Times New Roman" w:hAnsi="Times New Roman" w:cs="Times New Roman"/>
          <w:b/>
          <w:color w:val="000000"/>
          <w:sz w:val="24"/>
          <w:szCs w:val="24"/>
        </w:rPr>
        <w:t>.</w:t>
      </w:r>
      <w:r w:rsidR="00FA40AD" w:rsidRPr="00B378FA">
        <w:rPr>
          <w:rFonts w:ascii="Times New Roman" w:hAnsi="Times New Roman" w:cs="Times New Roman"/>
          <w:b/>
          <w:color w:val="000000"/>
          <w:sz w:val="24"/>
          <w:szCs w:val="24"/>
        </w:rPr>
        <w:t>0</w:t>
      </w:r>
      <w:r w:rsidR="00E074E9">
        <w:rPr>
          <w:rFonts w:ascii="Times New Roman" w:hAnsi="Times New Roman" w:cs="Times New Roman"/>
          <w:b/>
          <w:color w:val="000000"/>
          <w:sz w:val="24"/>
          <w:szCs w:val="24"/>
        </w:rPr>
        <w:t>9</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B378FA">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378FA">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5605E8">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5605E8">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3A88"/>
    <w:rsid w:val="000D41BB"/>
    <w:rsid w:val="000D4728"/>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38AE"/>
    <w:rsid w:val="001E4A23"/>
    <w:rsid w:val="001E61AE"/>
    <w:rsid w:val="001F692F"/>
    <w:rsid w:val="00206156"/>
    <w:rsid w:val="00206C95"/>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14303"/>
    <w:rsid w:val="0032009E"/>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1F3C"/>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A0D"/>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66C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57A66"/>
    <w:rsid w:val="005605E8"/>
    <w:rsid w:val="00560DD1"/>
    <w:rsid w:val="00564192"/>
    <w:rsid w:val="00564CEE"/>
    <w:rsid w:val="0056540B"/>
    <w:rsid w:val="005662BA"/>
    <w:rsid w:val="00571779"/>
    <w:rsid w:val="00571AE8"/>
    <w:rsid w:val="005750E6"/>
    <w:rsid w:val="0057530D"/>
    <w:rsid w:val="0057595F"/>
    <w:rsid w:val="00576380"/>
    <w:rsid w:val="00577E35"/>
    <w:rsid w:val="0058597B"/>
    <w:rsid w:val="0058626B"/>
    <w:rsid w:val="00587769"/>
    <w:rsid w:val="0059066D"/>
    <w:rsid w:val="005951FB"/>
    <w:rsid w:val="005A4109"/>
    <w:rsid w:val="005B4FB7"/>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385E"/>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24B0"/>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756"/>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A7729"/>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14B6E"/>
    <w:rsid w:val="00926910"/>
    <w:rsid w:val="00930E35"/>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D5362"/>
    <w:rsid w:val="009E2E85"/>
    <w:rsid w:val="009E35E9"/>
    <w:rsid w:val="009E7ACB"/>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378FA"/>
    <w:rsid w:val="00B4596E"/>
    <w:rsid w:val="00B5300B"/>
    <w:rsid w:val="00B54B55"/>
    <w:rsid w:val="00B60CAF"/>
    <w:rsid w:val="00B61A8B"/>
    <w:rsid w:val="00B622F8"/>
    <w:rsid w:val="00B65D69"/>
    <w:rsid w:val="00B701DC"/>
    <w:rsid w:val="00B71490"/>
    <w:rsid w:val="00B7345A"/>
    <w:rsid w:val="00B73A89"/>
    <w:rsid w:val="00B7645C"/>
    <w:rsid w:val="00B7661B"/>
    <w:rsid w:val="00B77DC6"/>
    <w:rsid w:val="00B81045"/>
    <w:rsid w:val="00B84149"/>
    <w:rsid w:val="00B957FF"/>
    <w:rsid w:val="00BA0561"/>
    <w:rsid w:val="00BA34F0"/>
    <w:rsid w:val="00BA421F"/>
    <w:rsid w:val="00BA4DCA"/>
    <w:rsid w:val="00BA6C99"/>
    <w:rsid w:val="00BB005B"/>
    <w:rsid w:val="00BB3CAB"/>
    <w:rsid w:val="00BB7824"/>
    <w:rsid w:val="00BC06FA"/>
    <w:rsid w:val="00BC0F06"/>
    <w:rsid w:val="00BC20F8"/>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2E35"/>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074E9"/>
    <w:rsid w:val="00E11FC4"/>
    <w:rsid w:val="00E15190"/>
    <w:rsid w:val="00E15704"/>
    <w:rsid w:val="00E1608D"/>
    <w:rsid w:val="00E34568"/>
    <w:rsid w:val="00E43118"/>
    <w:rsid w:val="00E4613A"/>
    <w:rsid w:val="00E46610"/>
    <w:rsid w:val="00E54786"/>
    <w:rsid w:val="00E60783"/>
    <w:rsid w:val="00E664C8"/>
    <w:rsid w:val="00E7493E"/>
    <w:rsid w:val="00E76228"/>
    <w:rsid w:val="00E7631C"/>
    <w:rsid w:val="00E901C5"/>
    <w:rsid w:val="00E921E7"/>
    <w:rsid w:val="00E93C61"/>
    <w:rsid w:val="00EB0FB3"/>
    <w:rsid w:val="00EB1461"/>
    <w:rsid w:val="00EB33D1"/>
    <w:rsid w:val="00EC1549"/>
    <w:rsid w:val="00EC29D5"/>
    <w:rsid w:val="00EC33F4"/>
    <w:rsid w:val="00EC652E"/>
    <w:rsid w:val="00EC7048"/>
    <w:rsid w:val="00EE5C66"/>
    <w:rsid w:val="00EE6104"/>
    <w:rsid w:val="00EF5FD1"/>
    <w:rsid w:val="00EF76DB"/>
    <w:rsid w:val="00EF7F57"/>
    <w:rsid w:val="00F0046B"/>
    <w:rsid w:val="00F02DAE"/>
    <w:rsid w:val="00F05086"/>
    <w:rsid w:val="00F13323"/>
    <w:rsid w:val="00F16C37"/>
    <w:rsid w:val="00F219DB"/>
    <w:rsid w:val="00F23713"/>
    <w:rsid w:val="00F2382F"/>
    <w:rsid w:val="00F25A25"/>
    <w:rsid w:val="00F315B3"/>
    <w:rsid w:val="00F4398F"/>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A7A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6448C-0086-4509-BEC1-72F90381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15</Pages>
  <Words>3589</Words>
  <Characters>20458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24000</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170</cp:revision>
  <cp:lastPrinted>2014-09-09T05:32:00Z</cp:lastPrinted>
  <dcterms:created xsi:type="dcterms:W3CDTF">2013-01-29T08:18:00Z</dcterms:created>
  <dcterms:modified xsi:type="dcterms:W3CDTF">2014-09-19T00:26:00Z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